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AEBB1">
      <w:pPr>
        <w:spacing w:before="269" w:after="269"/>
        <w:ind w:left="120"/>
        <w:jc w:val="center"/>
        <w:rPr>
          <w:rFonts w:hint="eastAsia" w:ascii="宋体" w:hAnsi="宋体" w:eastAsia="宋体" w:cs="宋体"/>
          <w:b/>
          <w:color w:val="000000"/>
          <w:sz w:val="36"/>
          <w:szCs w:val="36"/>
          <w:lang w:eastAsia="zh-CN"/>
        </w:rPr>
      </w:pPr>
      <w:r>
        <w:rPr>
          <w:rFonts w:hint="eastAsia" w:ascii="宋体" w:hAnsi="宋体" w:eastAsia="宋体" w:cs="宋体"/>
          <w:b/>
          <w:color w:val="000000"/>
          <w:sz w:val="36"/>
          <w:szCs w:val="36"/>
          <w:lang w:eastAsia="zh-CN"/>
        </w:rPr>
        <w:t>第二十四届中国国际人才交流大会</w:t>
      </w:r>
    </w:p>
    <w:p w14:paraId="0E60B075">
      <w:pPr>
        <w:spacing w:before="269" w:after="269"/>
        <w:ind w:left="120"/>
        <w:jc w:val="center"/>
        <w:rPr>
          <w:rFonts w:hint="eastAsia" w:ascii="宋体" w:hAnsi="宋体" w:eastAsia="宋体" w:cs="宋体"/>
          <w:b/>
          <w:color w:val="000000"/>
          <w:sz w:val="36"/>
          <w:szCs w:val="36"/>
          <w:lang w:eastAsia="zh-CN"/>
        </w:rPr>
      </w:pPr>
      <w:r>
        <w:rPr>
          <w:rFonts w:hint="eastAsia" w:ascii="宋体" w:hAnsi="宋体" w:eastAsia="宋体" w:cs="宋体"/>
          <w:b/>
          <w:sz w:val="36"/>
          <w:szCs w:val="36"/>
          <w:lang w:eastAsia="zh-CN"/>
        </w:rPr>
        <w:t>开幕式</w:t>
      </w:r>
      <w:r>
        <w:rPr>
          <w:rFonts w:hint="eastAsia" w:ascii="宋体" w:hAnsi="宋体" w:eastAsia="宋体" w:cs="宋体"/>
          <w:b/>
          <w:sz w:val="36"/>
          <w:szCs w:val="36"/>
          <w:lang w:val="en-US" w:eastAsia="zh-CN"/>
        </w:rPr>
        <w:t>保障项目</w:t>
      </w:r>
      <w:r>
        <w:rPr>
          <w:rFonts w:hint="eastAsia" w:ascii="宋体" w:hAnsi="宋体" w:eastAsia="宋体" w:cs="宋体"/>
          <w:b/>
          <w:color w:val="000000"/>
          <w:sz w:val="36"/>
          <w:szCs w:val="36"/>
          <w:lang w:eastAsia="zh-CN"/>
        </w:rPr>
        <w:t>采购公告</w:t>
      </w:r>
    </w:p>
    <w:p w14:paraId="2E5E3319">
      <w:pPr>
        <w:spacing w:before="269" w:after="269"/>
        <w:ind w:left="120"/>
        <w:rPr>
          <w:rFonts w:hint="eastAsia" w:ascii="宋体" w:hAnsi="宋体" w:eastAsia="宋体" w:cs="宋体"/>
          <w:b/>
          <w:color w:val="000000"/>
          <w:sz w:val="24"/>
          <w:szCs w:val="24"/>
          <w:lang w:eastAsia="zh-CN"/>
        </w:rPr>
      </w:pPr>
    </w:p>
    <w:p w14:paraId="6EDB2191">
      <w:pPr>
        <w:spacing w:before="269" w:after="269" w:line="360" w:lineRule="auto"/>
        <w:ind w:left="120"/>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一、项目概况</w:t>
      </w:r>
    </w:p>
    <w:p w14:paraId="562B05C2">
      <w:pPr>
        <w:spacing w:before="269" w:after="269" w:line="360" w:lineRule="auto"/>
        <w:ind w:left="120"/>
        <w:rPr>
          <w:rFonts w:hint="eastAsia" w:ascii="宋体" w:hAnsi="宋体" w:eastAsia="宋体" w:cs="宋体"/>
          <w:lang w:val="en-US" w:eastAsia="zh-CN"/>
        </w:rPr>
      </w:pPr>
      <w:r>
        <w:rPr>
          <w:rFonts w:hint="eastAsia" w:ascii="宋体" w:hAnsi="宋体" w:eastAsia="宋体" w:cs="宋体"/>
          <w:b/>
          <w:color w:val="000000"/>
          <w:lang w:eastAsia="zh-CN"/>
        </w:rPr>
        <w:t>项目名称</w:t>
      </w:r>
      <w:r>
        <w:rPr>
          <w:rFonts w:hint="eastAsia" w:ascii="宋体" w:hAnsi="宋体" w:eastAsia="宋体" w:cs="宋体"/>
          <w:color w:val="000000"/>
          <w:lang w:eastAsia="zh-CN"/>
        </w:rPr>
        <w:t>：第二十四届中国国际人才交流大会</w:t>
      </w:r>
      <w:r>
        <w:rPr>
          <w:rFonts w:hint="eastAsia" w:ascii="宋体" w:hAnsi="宋体" w:eastAsia="宋体" w:cs="宋体"/>
          <w:lang w:eastAsia="zh-CN"/>
        </w:rPr>
        <w:t>开幕式</w:t>
      </w:r>
      <w:r>
        <w:rPr>
          <w:rFonts w:hint="eastAsia" w:ascii="宋体" w:hAnsi="宋体" w:eastAsia="宋体" w:cs="宋体"/>
          <w:lang w:val="en-US" w:eastAsia="zh-CN"/>
        </w:rPr>
        <w:t>保障项目</w:t>
      </w:r>
    </w:p>
    <w:p w14:paraId="0D92F2C5">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b/>
          <w:color w:val="000000"/>
          <w:lang w:eastAsia="zh-CN"/>
        </w:rPr>
        <w:t>组织单位</w:t>
      </w:r>
      <w:r>
        <w:rPr>
          <w:rFonts w:hint="eastAsia" w:ascii="宋体" w:hAnsi="宋体" w:eastAsia="宋体" w:cs="宋体"/>
          <w:color w:val="000000"/>
          <w:lang w:eastAsia="zh-CN"/>
        </w:rPr>
        <w:t>：上海东浩兰生会展（集团）有限公司</w:t>
      </w:r>
    </w:p>
    <w:p w14:paraId="59781FAB">
      <w:pPr>
        <w:spacing w:before="269" w:after="269" w:line="360" w:lineRule="auto"/>
        <w:ind w:left="120"/>
        <w:rPr>
          <w:rFonts w:hint="eastAsia" w:ascii="宋体" w:hAnsi="宋体" w:eastAsia="宋体" w:cs="宋体"/>
          <w:color w:val="FFFF00"/>
          <w:lang w:eastAsia="zh-CN"/>
        </w:rPr>
      </w:pPr>
      <w:r>
        <w:rPr>
          <w:rFonts w:hint="eastAsia" w:ascii="宋体" w:hAnsi="宋体" w:eastAsia="宋体" w:cs="宋体"/>
          <w:b/>
          <w:color w:val="000000"/>
          <w:lang w:eastAsia="zh-CN"/>
        </w:rPr>
        <w:t>项目时间</w:t>
      </w:r>
      <w:r>
        <w:rPr>
          <w:rFonts w:hint="eastAsia" w:ascii="宋体" w:hAnsi="宋体" w:eastAsia="宋体" w:cs="宋体"/>
          <w:color w:val="000000"/>
          <w:lang w:eastAsia="zh-CN"/>
        </w:rPr>
        <w:t>：</w:t>
      </w:r>
      <w:r>
        <w:rPr>
          <w:rFonts w:hint="eastAsia" w:ascii="宋体" w:hAnsi="宋体" w:eastAsia="宋体" w:cs="宋体"/>
          <w:lang w:eastAsia="zh-CN"/>
        </w:rPr>
        <w:t>2026年11月12日-11月13日（以具体大会议程为准）</w:t>
      </w:r>
    </w:p>
    <w:p w14:paraId="6E27E385">
      <w:pPr>
        <w:spacing w:before="269" w:after="269" w:line="360" w:lineRule="auto"/>
        <w:ind w:left="120"/>
        <w:rPr>
          <w:rFonts w:hint="eastAsia" w:ascii="宋体" w:hAnsi="宋体" w:eastAsia="宋体" w:cs="宋体"/>
          <w:color w:val="000000"/>
          <w:lang w:val="en-US" w:eastAsia="zh-CN"/>
        </w:rPr>
      </w:pPr>
      <w:r>
        <w:rPr>
          <w:rFonts w:hint="eastAsia" w:ascii="宋体" w:hAnsi="宋体" w:eastAsia="宋体" w:cs="宋体"/>
          <w:b/>
          <w:color w:val="000000"/>
          <w:lang w:eastAsia="zh-CN"/>
        </w:rPr>
        <w:t>项目地点</w:t>
      </w:r>
      <w:r>
        <w:rPr>
          <w:rFonts w:hint="eastAsia" w:ascii="宋体" w:hAnsi="宋体" w:eastAsia="宋体" w:cs="宋体"/>
          <w:color w:val="000000"/>
          <w:lang w:eastAsia="zh-CN"/>
        </w:rPr>
        <w:t>：世博中心</w:t>
      </w:r>
      <w:r>
        <w:rPr>
          <w:rFonts w:hint="eastAsia" w:ascii="宋体" w:hAnsi="宋体" w:eastAsia="宋体" w:cs="宋体"/>
          <w:color w:val="000000"/>
          <w:lang w:val="en-US" w:eastAsia="zh-CN"/>
        </w:rPr>
        <w:t>银厅</w:t>
      </w:r>
    </w:p>
    <w:p w14:paraId="40DB926E">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b/>
          <w:color w:val="000000"/>
          <w:lang w:eastAsia="zh-CN"/>
        </w:rPr>
        <w:t>项目简介</w:t>
      </w:r>
      <w:r>
        <w:rPr>
          <w:rFonts w:hint="eastAsia" w:ascii="宋体" w:hAnsi="宋体" w:eastAsia="宋体" w:cs="宋体"/>
          <w:color w:val="000000"/>
          <w:lang w:eastAsia="zh-CN"/>
        </w:rPr>
        <w:t>：第二十四届中国国际人才交流大会旨在汇聚全球人才领域及国内外各大高校、知名学府的顶尖专家、学者和企业，共同探讨海内外人才培育、引进、发掘等最新进展、行业前景与挑战，促进国际交流与合作。大会将围绕国际人才交流的核心议题，组织高端论坛、展览展示、创新竞赛等多元化活动，为全球人才培养的繁荣发展贡献力量。</w:t>
      </w:r>
      <w:r>
        <w:rPr>
          <w:rFonts w:hint="eastAsia" w:ascii="宋体" w:hAnsi="宋体" w:eastAsia="宋体" w:cs="宋体"/>
          <w:lang w:eastAsia="zh-CN"/>
        </w:rPr>
        <w:t>现面向社会公开采购第二十四届中国国际人才交流大会世博中心外场整体氛围布置供应商</w:t>
      </w:r>
      <w:r>
        <w:rPr>
          <w:rFonts w:hint="eastAsia" w:ascii="宋体" w:hAnsi="宋体" w:eastAsia="宋体" w:cs="宋体"/>
          <w:color w:val="000000"/>
          <w:lang w:eastAsia="zh-CN"/>
        </w:rPr>
        <w:t>，为大会提供全面、专业、高效的服务。</w:t>
      </w:r>
    </w:p>
    <w:p w14:paraId="428D69B1">
      <w:pPr>
        <w:spacing w:before="269" w:after="269" w:line="360" w:lineRule="auto"/>
        <w:rPr>
          <w:rFonts w:hint="eastAsia" w:ascii="宋体" w:hAnsi="宋体"/>
          <w:sz w:val="24"/>
          <w:lang w:eastAsia="zh-CN"/>
        </w:rPr>
      </w:pPr>
      <w:r>
        <w:rPr>
          <w:rFonts w:hint="eastAsia" w:ascii="宋体" w:hAnsi="宋体"/>
          <w:b/>
          <w:bCs/>
          <w:szCs w:val="21"/>
          <w:lang w:eastAsia="zh-CN"/>
        </w:rPr>
        <w:t>本项目的特定资格要求</w:t>
      </w:r>
      <w:r>
        <w:rPr>
          <w:rFonts w:ascii="宋体" w:hAnsi="宋体"/>
          <w:b/>
          <w:bCs/>
          <w:szCs w:val="21"/>
          <w:lang w:eastAsia="zh-CN"/>
        </w:rPr>
        <w:t>：</w:t>
      </w:r>
      <w:r>
        <w:rPr>
          <w:rFonts w:hint="eastAsia" w:ascii="宋体" w:hAnsi="宋体"/>
          <w:szCs w:val="21"/>
          <w:lang w:eastAsia="zh-CN"/>
        </w:rPr>
        <w:t>本项目不得转包；本项目不接受联合体投标。</w:t>
      </w:r>
    </w:p>
    <w:p w14:paraId="461C7C13">
      <w:pPr>
        <w:spacing w:before="269" w:after="269" w:line="360" w:lineRule="auto"/>
        <w:ind w:left="120"/>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二、采购范围与服务内容</w:t>
      </w:r>
    </w:p>
    <w:p w14:paraId="4DD0B766">
      <w:pPr>
        <w:spacing w:before="269" w:after="269" w:line="360" w:lineRule="auto"/>
        <w:ind w:left="120"/>
        <w:rPr>
          <w:rFonts w:hint="eastAsia" w:ascii="宋体" w:hAnsi="宋体" w:eastAsia="宋体" w:cs="宋体"/>
          <w:lang w:eastAsia="zh-CN"/>
        </w:rPr>
      </w:pPr>
      <w:r>
        <w:rPr>
          <w:rFonts w:hint="eastAsia" w:ascii="宋体" w:hAnsi="宋体" w:eastAsia="宋体" w:cs="宋体"/>
          <w:lang w:eastAsia="zh-CN"/>
        </w:rPr>
        <w:t>本次采购范围包括但不限于以下服务内容：</w:t>
      </w:r>
    </w:p>
    <w:p w14:paraId="0A2B79FF">
      <w:pPr>
        <w:spacing w:before="269" w:after="269" w:line="360" w:lineRule="auto"/>
        <w:ind w:left="120"/>
        <w:rPr>
          <w:rFonts w:hint="default" w:ascii="宋体" w:hAnsi="宋体" w:eastAsia="宋体" w:cs="宋体"/>
          <w:bCs/>
          <w:lang w:val="en-US" w:eastAsia="zh-CN"/>
        </w:rPr>
      </w:pPr>
      <w:r>
        <w:rPr>
          <w:rFonts w:hint="eastAsia" w:ascii="宋体" w:hAnsi="宋体" w:eastAsia="宋体" w:cs="宋体"/>
          <w:bCs/>
          <w:lang w:eastAsia="zh-CN"/>
        </w:rPr>
        <w:t>开幕式</w:t>
      </w:r>
      <w:r>
        <w:rPr>
          <w:rFonts w:hint="eastAsia" w:ascii="宋体" w:hAnsi="宋体" w:eastAsia="宋体" w:cs="宋体"/>
          <w:bCs/>
          <w:lang w:val="en-US" w:eastAsia="zh-CN"/>
        </w:rPr>
        <w:t>保障</w:t>
      </w:r>
    </w:p>
    <w:p w14:paraId="365AF1AE">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提供大会整体风格的设计方案，包括舞台布局、灯光音响、背景板、导视系统等 ; 根据设计方案，负责现场搭建及布置等工作。具体事项包括但不仅限：</w:t>
      </w:r>
    </w:p>
    <w:p w14:paraId="33E3F406">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1、舞台布局设计</w:t>
      </w:r>
    </w:p>
    <w:p w14:paraId="094B68B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主舞台面积：不少于 300 ㎡（宽 20m  × 深 15m），高度  0.4m-1.2m，可根据供应商的设计方案具体调整。</w:t>
      </w:r>
    </w:p>
    <w:p w14:paraId="493871EA">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舞台结构：钢结构及 B1 级阻燃板，承重不少于 500kg/㎡， 表面铺设防滑黑色地毯。</w:t>
      </w:r>
    </w:p>
    <w:p w14:paraId="26483FCA">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2、开幕式设备租赁</w:t>
      </w:r>
    </w:p>
    <w:p w14:paraId="51077AE8">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2.1 LED 大屏及控制系统</w:t>
      </w:r>
    </w:p>
    <w:p w14:paraId="595FDE71">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color w:val="000000"/>
          <w:lang w:eastAsia="zh-CN"/>
        </w:rPr>
        <w:t>单块 LED  屏幕最低配置：单块 LED  屏幕的像素间距不得超过 P3，即 3 毫米。单个模组的分辨率不得低于 128×64 像素，模组尺寸为 320 毫米×160 毫米。</w:t>
      </w:r>
    </w:p>
    <w:p w14:paraId="69B06D35">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color w:val="000000"/>
          <w:lang w:eastAsia="zh-CN"/>
        </w:rPr>
        <w:t>屏幕亮度方面，室内使用场景不得低于每平方米 800 坎德拉，户外使用场景不得低于每平方米 5000  坎德拉。刷新率不得低于 3840 赫兹，灰度等级不得低于 14 比特。色温调节范围需在 3200K  至 9300K  之间。</w:t>
      </w:r>
    </w:p>
    <w:p w14:paraId="017FAC04">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color w:val="000000"/>
          <w:lang w:eastAsia="zh-CN"/>
        </w:rPr>
        <w:t>控制系统：支持多画面拼接、开窗、叠加。</w:t>
      </w:r>
    </w:p>
    <w:p w14:paraId="6B2B3102">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color w:val="000000"/>
          <w:lang w:eastAsia="zh-CN"/>
        </w:rPr>
        <w:t>视频处理器： 不少于 2 台，支持 4K@60Hz 输入输出。</w:t>
      </w:r>
    </w:p>
    <w:p w14:paraId="47DD4A74">
      <w:pPr>
        <w:spacing w:before="269" w:after="269" w:line="360" w:lineRule="auto"/>
        <w:ind w:left="120"/>
        <w:rPr>
          <w:rFonts w:hint="eastAsia" w:ascii="宋体" w:hAnsi="宋体" w:eastAsia="宋体" w:cs="宋体"/>
          <w:color w:val="000000"/>
          <w:lang w:eastAsia="zh-CN"/>
        </w:rPr>
      </w:pPr>
      <w:r>
        <w:rPr>
          <w:rFonts w:hint="eastAsia" w:ascii="宋体" w:hAnsi="宋体" w:eastAsia="宋体" w:cs="宋体"/>
          <w:color w:val="000000"/>
          <w:lang w:eastAsia="zh-CN"/>
        </w:rPr>
        <w:t>播放服务器： 不少于 2 台（配置最低： i5 处理器、32GB 内存、215GB  SSD）。</w:t>
      </w:r>
    </w:p>
    <w:p w14:paraId="0684D2F7">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2.2 音响系统详细配置</w:t>
      </w:r>
    </w:p>
    <w:p w14:paraId="75720510">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主扩声线阵列： 不少于 16 只全频 +  8 只低频，覆盖角度 90°×10 °。</w:t>
      </w:r>
    </w:p>
    <w:p w14:paraId="63794FD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舞台返送音箱： 不少于 8 只（15 寸同轴，功率 不少于 500W/只）。</w:t>
      </w:r>
    </w:p>
    <w:p w14:paraId="54A94B74">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观众区补声音箱：不少于 12 只（12 寸全频，功率 不少于 400W/只）。</w:t>
      </w:r>
    </w:p>
    <w:p w14:paraId="562FD711">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无线话筒：不少于 20 套（手持式 +  头戴式 + 领夹式，UHF 频段，支持加密传输）。</w:t>
      </w:r>
    </w:p>
    <w:p w14:paraId="3F6F7015">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有线话筒： 不少于 10 支（电容式会议话筒，鹅颈长度不少于40cm）。</w:t>
      </w:r>
    </w:p>
    <w:p w14:paraId="0368B94A">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音频接口机： 不少于 8 台，支持 Dante/AVB  网络音频协议。</w:t>
      </w:r>
    </w:p>
    <w:p w14:paraId="534129E3">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2.3 舞台灯光设备不低于以下配置：</w:t>
      </w:r>
    </w:p>
    <w:p w14:paraId="0DDC3DB6">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电脑切割灯： 12 台（功率 600W，色温可调）。</w:t>
      </w:r>
    </w:p>
    <w:p w14:paraId="527538D9">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LED 染色灯： 12 台（功率 400W，8bit 调光精度）。</w:t>
      </w:r>
    </w:p>
    <w:p w14:paraId="29DDEFE9">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光束灯： 10 台（功率 300W，光束角  2 °-8°) 。</w:t>
      </w:r>
    </w:p>
    <w:p w14:paraId="545B44D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LED 帕灯： 24 台（功率 200W，RGBW 四合一）。</w:t>
      </w:r>
    </w:p>
    <w:p w14:paraId="7C298A2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天排灯/地排灯：各4 台（功率 1000W，泛光角度  120°) 。</w:t>
      </w:r>
    </w:p>
    <w:p w14:paraId="327B8280">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2.4 开幕式录制及摄影设备不低于以下配置：</w:t>
      </w:r>
    </w:p>
    <w:p w14:paraId="25AE33CA">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摄像机： 不少于 4 台。有效像素： ≥1920×1080（FHD），支持 1920×1080/50i、 50p、25p 等格式 ;</w:t>
      </w:r>
    </w:p>
    <w:p w14:paraId="7A22B518">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游机：不少于 1  台。有效像素： ≥3840×2160（4K  UHD），支持 4K/60fps。</w:t>
      </w:r>
    </w:p>
    <w:p w14:paraId="6CC13CF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接口需要视频输出：HDMI  2.1（4K  60p  输出）、SDI（选配），音频输入：XLR×2 （通过适配器或机身），支持 4 通道音频。</w:t>
      </w:r>
    </w:p>
    <w:p w14:paraId="1807F524">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镜头配置要求基础参数：广角变焦 4.3-60mm（等效约 9-130mm）F1.9-F2.8，标准变焦 17-102mm 或 18-110mmF2.8，长焦变焦 45-260mm 或 50-1000mm    F2.8-F4.5。</w:t>
      </w:r>
    </w:p>
    <w:p w14:paraId="7E6141D3">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镜头通用要求：卡口：B4 卡口或 PL/EF/E 卡口，伺服变焦：支持电动变焦、聚焦、光圈控制，镜口径： ≥82mm，支持 ND 滤镜内置或外置。</w:t>
      </w:r>
    </w:p>
    <w:p w14:paraId="3408F57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游机定焦镜头：-  24mm  F1.4，50mm  F1.2，85mm  F1.4。</w:t>
      </w:r>
    </w:p>
    <w:p w14:paraId="281E1233">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摇臂： 不少于 1 套（长度 不少于 6m，电动遥控云台）。</w:t>
      </w:r>
    </w:p>
    <w:p w14:paraId="36D96E95">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导播台：不少于 1 台（不少于 8 路高清及以上输入，支持多机位切换、字幕、抠像）。</w:t>
      </w:r>
    </w:p>
    <w:p w14:paraId="52612B28">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录制设备： 不少于 4 台高清及以上录像机，支持 ProRes 422 HQ  编码。</w:t>
      </w:r>
    </w:p>
    <w:p w14:paraId="41DC55D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3、开幕式会务用品配套</w:t>
      </w:r>
    </w:p>
    <w:p w14:paraId="3EAC3AF3">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提供开幕式会场内必要的桌、椅， 数量根据各类嘉宾人数（预计 3200 人）进行相应准备。</w:t>
      </w:r>
    </w:p>
    <w:p w14:paraId="7AC8403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4、开幕式保障</w:t>
      </w:r>
    </w:p>
    <w:p w14:paraId="5BC00F9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4.1 现场运营管理</w:t>
      </w:r>
    </w:p>
    <w:p w14:paraId="57937B31">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运营团队：不少于15人（现场总监 1 名、舞台监督 2 名、技术统筹 2 名、场务 10名）。</w:t>
      </w:r>
    </w:p>
    <w:p w14:paraId="231C3A31">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对讲系统： 不少于 10 套（数字对讲机，覆盖范围 不少于 2km，支持分组通话）。</w:t>
      </w:r>
    </w:p>
    <w:p w14:paraId="32813BC0">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4.2 技术支持保障</w:t>
      </w:r>
    </w:p>
    <w:p w14:paraId="5F374246">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提供音响、视频、灯光、同传技术保障人员，并提供详细的人员名单及人员相关资格证书。</w:t>
      </w:r>
    </w:p>
    <w:p w14:paraId="12CE8925">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应急响应时间： 设备故障 ≤3 分钟响应， ≤10 分钟解决或启用备用方案。</w:t>
      </w:r>
    </w:p>
    <w:p w14:paraId="6AE077D1">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4.3 开幕式相关设计</w:t>
      </w:r>
    </w:p>
    <w:p w14:paraId="778EEBA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开幕式大屏画面设计。</w:t>
      </w:r>
    </w:p>
    <w:p w14:paraId="193CEAD9">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开幕式物料衍生产品设计，场内导识设计。</w:t>
      </w:r>
    </w:p>
    <w:p w14:paraId="36BBD7B1">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5</w:t>
      </w:r>
      <w:r>
        <w:rPr>
          <w:rFonts w:hint="eastAsia" w:ascii="宋体" w:hAnsi="宋体" w:eastAsia="宋体" w:cs="宋体"/>
          <w:bCs/>
          <w:lang w:eastAsia="zh-CN"/>
        </w:rPr>
        <w:t>、舞台智能化应用</w:t>
      </w:r>
    </w:p>
    <w:p w14:paraId="1DB3A47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为开幕式舞台提供全面智能化方案，实现舞台机械精准自动化控制，保障演讲、仪式流畅创新。利用智能交互技术增强保障演讲嘉宾的演讲感受。通过智能讲台及道具等的上下舞台自动化，实现流程场景的无缝切换。具体参数不仅限如下所列：</w:t>
      </w:r>
    </w:p>
    <w:p w14:paraId="35DC8696">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5</w:t>
      </w:r>
      <w:r>
        <w:rPr>
          <w:rFonts w:hint="eastAsia" w:ascii="宋体" w:hAnsi="宋体" w:eastAsia="宋体" w:cs="宋体"/>
          <w:bCs/>
          <w:lang w:eastAsia="zh-CN"/>
        </w:rPr>
        <w:t>.1 移动讲台机械自动化控制</w:t>
      </w:r>
    </w:p>
    <w:p w14:paraId="2DA51C60">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基础规格参数：讲台高度在 75-130cm 内，宽度不低于 60cm，长度不低于 50cm。讲台承重整体不低于 150kg，支持无极变速移动，带刹车锁定功能，确保移动便捷且停放稳固。台面预留标准话筒接口及鹅颈话筒安装位置，兼容主流会议话筒类型。</w:t>
      </w:r>
    </w:p>
    <w:p w14:paraId="3B8CC436">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升降系统采用电动驱动，升降行程不低于 350 毫米，定位精度正负 2 毫米，具备遇阻回弹安全保护功能。系统支持记忆高度功能，可预设至少 3 个常用高度档位，一键切换。</w:t>
      </w:r>
    </w:p>
    <w:p w14:paraId="44E1C4FF">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控制系统：PLC+伺服电机驱动，定位精度≤±2mm，支持时间码同步。</w:t>
      </w:r>
    </w:p>
    <w:p w14:paraId="7D646A7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5</w:t>
      </w:r>
      <w:r>
        <w:rPr>
          <w:rFonts w:hint="eastAsia" w:ascii="宋体" w:hAnsi="宋体" w:eastAsia="宋体" w:cs="宋体"/>
          <w:bCs/>
          <w:lang w:eastAsia="zh-CN"/>
        </w:rPr>
        <w:t>.2 移动道具机械自动化控制</w:t>
      </w:r>
    </w:p>
    <w:p w14:paraId="24C7373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供应商需结合活动主题，定制舞台移动道具 1 套用于开幕式上启动或签约环节使用，道具尺寸由投标人自行结合舞台场景进行创意设计。</w:t>
      </w:r>
    </w:p>
    <w:p w14:paraId="47AF0104">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6</w:t>
      </w:r>
      <w:r>
        <w:rPr>
          <w:rFonts w:hint="eastAsia" w:ascii="宋体" w:hAnsi="宋体" w:eastAsia="宋体" w:cs="宋体"/>
          <w:bCs/>
          <w:lang w:eastAsia="zh-CN"/>
        </w:rPr>
        <w:t>、开幕式导演组策划及执行</w:t>
      </w:r>
    </w:p>
    <w:p w14:paraId="303134C5">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组建专业导演团队策划开幕式，结合场地等因素制定详细方案，涵盖主题诠释、节目创意等内容。筹备与举办期间全程执行，组织演员排练，协调工作人员，把控进度质量，具备应急处理能力，确保开幕式按方案顺利呈现最佳效果。</w:t>
      </w:r>
    </w:p>
    <w:p w14:paraId="672F3467">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6</w:t>
      </w:r>
      <w:r>
        <w:rPr>
          <w:rFonts w:hint="eastAsia" w:ascii="宋体" w:hAnsi="宋体" w:eastAsia="宋体" w:cs="宋体"/>
          <w:bCs/>
          <w:lang w:eastAsia="zh-CN"/>
        </w:rPr>
        <w:t>.1 导演团队不低于以下配置</w:t>
      </w:r>
    </w:p>
    <w:p w14:paraId="56C7B727">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总导演：1名（具备类似项目经验）；执行导演：2 名；舞美设计总监：1 名；灯光设计总监：1名；音响设计总监：1名；视频设计总监：1名；编导/排练导演：不少于2 名；现场执行团队：不少于 10 人</w:t>
      </w:r>
    </w:p>
    <w:p w14:paraId="47F05069">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6</w:t>
      </w:r>
      <w:r>
        <w:rPr>
          <w:rFonts w:hint="eastAsia" w:ascii="宋体" w:hAnsi="宋体" w:eastAsia="宋体" w:cs="宋体"/>
          <w:bCs/>
          <w:lang w:eastAsia="zh-CN"/>
        </w:rPr>
        <w:t>.2 策划内容要求</w:t>
      </w:r>
    </w:p>
    <w:p w14:paraId="0CA878A5">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主题诠释方案：不少于2套创意方案供选择，含文案策划、视觉风格、音乐情绪。串联单规划： 不少于根据议程制作活动串联单，具备相应元素等，并随时修改。</w:t>
      </w:r>
    </w:p>
    <w:p w14:paraId="33F69B8F">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应急预案： 不少于1套（含停电、设备故障、嘉宾缺席、恶劣天气、安全事件）。演练与执行</w:t>
      </w:r>
    </w:p>
    <w:p w14:paraId="44633FD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演练彩排时间： 不少于1天（含分段排练、联排、带机彩排不少于 2 次，全流程彩排，每次不少于 4 小时）</w:t>
      </w:r>
    </w:p>
    <w:p w14:paraId="072009D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演练统筹：统筹参与演练的人员及相关工种管理。</w:t>
      </w:r>
    </w:p>
    <w:p w14:paraId="7678D3F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7</w:t>
      </w:r>
      <w:r>
        <w:rPr>
          <w:rFonts w:hint="eastAsia" w:ascii="宋体" w:hAnsi="宋体" w:eastAsia="宋体" w:cs="宋体"/>
          <w:bCs/>
          <w:lang w:eastAsia="zh-CN"/>
        </w:rPr>
        <w:t>、同传及翻译服务</w:t>
      </w:r>
    </w:p>
    <w:p w14:paraId="1772E9A4">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提供专业同声传译（英语），配备经验丰富、资质齐全的译员，将演讲内容准确及时译成多种语言，通过设备传给嘉宾，译员应具备良好的语言与应变能力。同时提供全面翻译服务，包括但不限于文件与现场书面材料翻译， 内容准确、语言通顺，符合目标语言习惯与文化背景。</w:t>
      </w:r>
    </w:p>
    <w:p w14:paraId="3DFCE9B3">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7.</w:t>
      </w:r>
      <w:r>
        <w:rPr>
          <w:rFonts w:hint="eastAsia" w:ascii="宋体" w:hAnsi="宋体" w:eastAsia="宋体" w:cs="宋体"/>
          <w:bCs/>
          <w:lang w:eastAsia="zh-CN"/>
        </w:rPr>
        <w:t>1 同声传译服务</w:t>
      </w:r>
    </w:p>
    <w:p w14:paraId="697D00B8">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语种： 中英同传（双向）</w:t>
      </w:r>
    </w:p>
    <w:p w14:paraId="75FC80C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译员配置：不少于 2 名（1个同传间，每间 2 名译员轮换），均持有 CATTI 一级口译证书或 AIIC 会员资格。</w:t>
      </w:r>
    </w:p>
    <w:p w14:paraId="384BDA0C">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同传设备包括但不限于：</w:t>
      </w:r>
    </w:p>
    <w:p w14:paraId="2427C317">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1、发射主机： 不少于1台（支持 32 个频道）。</w:t>
      </w:r>
    </w:p>
    <w:p w14:paraId="56D0A93E">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2、辐射板或同类型的导览发射器： 不少于6个（覆盖范围不少于 1000 ㎡）。</w:t>
      </w:r>
    </w:p>
    <w:p w14:paraId="3906AAF4">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3、接收机：不少于 500 个（支持频道选择、音量调节）。</w:t>
      </w:r>
    </w:p>
    <w:p w14:paraId="0ADDD0B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4、译员台：不少于 2 个（带麦克风、监听耳机、频道选择）。</w:t>
      </w:r>
    </w:p>
    <w:p w14:paraId="271D9F52">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val="en-US" w:eastAsia="zh-CN"/>
        </w:rPr>
        <w:t>7</w:t>
      </w:r>
      <w:r>
        <w:rPr>
          <w:rFonts w:hint="eastAsia" w:ascii="宋体" w:hAnsi="宋体" w:eastAsia="宋体" w:cs="宋体"/>
          <w:bCs/>
          <w:lang w:eastAsia="zh-CN"/>
        </w:rPr>
        <w:t>.2 笔译服务</w:t>
      </w:r>
    </w:p>
    <w:p w14:paraId="7609FDDD">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文件翻译： 不少于 10,000 字（含大会手册、嘉宾演讲稿、新闻通稿等）。</w:t>
      </w:r>
    </w:p>
    <w:p w14:paraId="21C035AB">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现场材料翻译：含 PPT、议程单、指示牌文案等。</w:t>
      </w:r>
    </w:p>
    <w:p w14:paraId="63E638A9">
      <w:pPr>
        <w:spacing w:before="269" w:after="269" w:line="360" w:lineRule="auto"/>
        <w:ind w:left="120"/>
        <w:rPr>
          <w:rFonts w:hint="eastAsia" w:ascii="宋体" w:hAnsi="宋体" w:eastAsia="宋体" w:cs="宋体"/>
          <w:bCs/>
          <w:lang w:eastAsia="zh-CN"/>
        </w:rPr>
      </w:pPr>
    </w:p>
    <w:p w14:paraId="60BC39BF">
      <w:pPr>
        <w:spacing w:before="269" w:after="269" w:line="360" w:lineRule="auto"/>
        <w:ind w:left="120"/>
        <w:rPr>
          <w:rFonts w:hint="eastAsia" w:ascii="宋体" w:hAnsi="宋体" w:eastAsia="宋体" w:cs="宋体"/>
          <w:bCs/>
          <w:lang w:eastAsia="zh-CN"/>
        </w:rPr>
      </w:pPr>
      <w:r>
        <w:rPr>
          <w:rFonts w:hint="eastAsia" w:ascii="宋体" w:hAnsi="宋体" w:eastAsia="宋体" w:cs="宋体"/>
          <w:bCs/>
          <w:lang w:eastAsia="zh-CN"/>
        </w:rPr>
        <w:t>翻译语种： 中英互译，必要时提供日、韩、法、德、西等小语种。</w:t>
      </w:r>
    </w:p>
    <w:p w14:paraId="48439C4A">
      <w:pPr>
        <w:spacing w:before="269" w:after="269" w:line="360" w:lineRule="auto"/>
        <w:ind w:left="120"/>
        <w:rPr>
          <w:rFonts w:ascii="宋体" w:hAnsi="宋体" w:eastAsia="宋体" w:cs="宋体"/>
          <w:bCs/>
          <w:lang w:eastAsia="zh-CN"/>
        </w:rPr>
      </w:pPr>
      <w:r>
        <w:rPr>
          <w:rFonts w:hint="eastAsia" w:ascii="宋体" w:hAnsi="宋体" w:eastAsia="宋体" w:cs="宋体"/>
          <w:bCs/>
          <w:lang w:eastAsia="zh-CN"/>
        </w:rPr>
        <w:t>质量要求：专业审校不少于 2 轮，术语统一，符合目标语言文化习惯。</w:t>
      </w:r>
    </w:p>
    <w:p w14:paraId="42F479AA">
      <w:pPr>
        <w:spacing w:before="269" w:after="269"/>
        <w:ind w:left="120"/>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三、参与企业资格要求</w:t>
      </w:r>
    </w:p>
    <w:p w14:paraId="37EC4287">
      <w:pPr>
        <w:numPr>
          <w:ilvl w:val="0"/>
          <w:numId w:val="1"/>
        </w:numPr>
        <w:spacing w:after="0"/>
        <w:rPr>
          <w:rFonts w:hint="eastAsia" w:ascii="宋体" w:hAnsi="宋体" w:eastAsia="宋体" w:cs="宋体"/>
          <w:lang w:eastAsia="zh-CN"/>
        </w:rPr>
      </w:pPr>
      <w:r>
        <w:rPr>
          <w:rFonts w:hint="eastAsia" w:ascii="宋体" w:hAnsi="宋体" w:eastAsia="宋体" w:cs="宋体"/>
          <w:b/>
          <w:color w:val="000000"/>
          <w:lang w:eastAsia="zh-CN"/>
        </w:rPr>
        <w:t>资质要求</w:t>
      </w:r>
      <w:r>
        <w:rPr>
          <w:rFonts w:hint="eastAsia" w:ascii="宋体" w:hAnsi="宋体" w:eastAsia="宋体" w:cs="宋体"/>
          <w:color w:val="000000"/>
          <w:lang w:eastAsia="zh-CN"/>
        </w:rPr>
        <w:t>：参与企业须为在中华人民共和国境内注册的具有独立法人资格的企业，具有相关会务服务经验及成功案例。</w:t>
      </w:r>
    </w:p>
    <w:p w14:paraId="7DC111BA">
      <w:pPr>
        <w:numPr>
          <w:ilvl w:val="0"/>
          <w:numId w:val="1"/>
        </w:numPr>
        <w:spacing w:after="0"/>
        <w:rPr>
          <w:rFonts w:hint="eastAsia" w:ascii="宋体" w:hAnsi="宋体" w:eastAsia="宋体" w:cs="宋体"/>
          <w:lang w:eastAsia="zh-CN"/>
        </w:rPr>
      </w:pPr>
      <w:r>
        <w:rPr>
          <w:rFonts w:hint="eastAsia" w:ascii="宋体" w:hAnsi="宋体" w:eastAsia="宋体" w:cs="宋体"/>
          <w:b/>
          <w:color w:val="000000"/>
          <w:lang w:eastAsia="zh-CN"/>
        </w:rPr>
        <w:t>财务要求</w:t>
      </w:r>
      <w:r>
        <w:rPr>
          <w:rFonts w:hint="eastAsia" w:ascii="宋体" w:hAnsi="宋体" w:eastAsia="宋体" w:cs="宋体"/>
          <w:color w:val="000000"/>
          <w:lang w:eastAsia="zh-CN"/>
        </w:rPr>
        <w:t>：参与企业须具有良好的财务状况和健全的财务会计制度，能够承担本次会务服务的资金压力。</w:t>
      </w:r>
    </w:p>
    <w:p w14:paraId="72D200DB">
      <w:pPr>
        <w:numPr>
          <w:ilvl w:val="0"/>
          <w:numId w:val="1"/>
        </w:numPr>
        <w:spacing w:after="0"/>
        <w:rPr>
          <w:rFonts w:hint="eastAsia" w:ascii="宋体" w:hAnsi="宋体" w:eastAsia="宋体" w:cs="宋体"/>
          <w:lang w:eastAsia="zh-CN"/>
        </w:rPr>
      </w:pPr>
      <w:r>
        <w:rPr>
          <w:rFonts w:hint="eastAsia" w:ascii="宋体" w:hAnsi="宋体" w:eastAsia="宋体" w:cs="宋体"/>
          <w:b/>
          <w:color w:val="000000"/>
          <w:lang w:eastAsia="zh-CN"/>
        </w:rPr>
        <w:t>团队要求</w:t>
      </w:r>
      <w:r>
        <w:rPr>
          <w:rFonts w:hint="eastAsia" w:ascii="宋体" w:hAnsi="宋体" w:eastAsia="宋体" w:cs="宋体"/>
          <w:color w:val="000000"/>
          <w:lang w:eastAsia="zh-CN"/>
        </w:rPr>
        <w:t>：参与企业须拥有专业的会务服务团队，具备丰富的会议策划与执行经验。</w:t>
      </w:r>
    </w:p>
    <w:p w14:paraId="7D77CE29">
      <w:pPr>
        <w:numPr>
          <w:ilvl w:val="0"/>
          <w:numId w:val="1"/>
        </w:numPr>
        <w:spacing w:after="0"/>
        <w:rPr>
          <w:rFonts w:hint="eastAsia" w:ascii="宋体" w:hAnsi="宋体" w:eastAsia="宋体" w:cs="宋体"/>
          <w:color w:val="000000"/>
          <w:lang w:eastAsia="zh-CN"/>
        </w:rPr>
      </w:pPr>
      <w:r>
        <w:rPr>
          <w:rFonts w:hint="eastAsia" w:ascii="宋体" w:hAnsi="宋体" w:eastAsia="宋体" w:cs="宋体"/>
          <w:b/>
          <w:color w:val="000000"/>
          <w:lang w:eastAsia="zh-CN"/>
        </w:rPr>
        <w:t>信誉要求</w:t>
      </w:r>
      <w:r>
        <w:rPr>
          <w:rFonts w:hint="eastAsia" w:ascii="宋体" w:hAnsi="宋体" w:eastAsia="宋体" w:cs="宋体"/>
          <w:color w:val="000000"/>
          <w:lang w:eastAsia="zh-CN"/>
        </w:rPr>
        <w:t>：参与企业须具有良好的商业信誉和履行合同的能力，无不良经营记录。</w:t>
      </w:r>
      <w:bookmarkStart w:id="0" w:name="_Hlk190678838"/>
      <w:r>
        <w:rPr>
          <w:rFonts w:ascii="宋体" w:hAnsi="宋体" w:eastAsia="宋体" w:cs="宋体"/>
          <w:color w:val="000000"/>
          <w:lang w:eastAsia="zh-CN"/>
        </w:rPr>
        <w:t>在“信用中国”（www.creditchina.gov.cn）中被列入失信被执行人、重大税收违法案件当事人名单的供应商，不得参加本次采购活动。</w:t>
      </w:r>
    </w:p>
    <w:bookmarkEnd w:id="0"/>
    <w:p w14:paraId="782CFDCB">
      <w:pPr>
        <w:numPr>
          <w:ilvl w:val="0"/>
          <w:numId w:val="1"/>
        </w:numPr>
        <w:spacing w:after="0"/>
        <w:rPr>
          <w:rFonts w:hint="eastAsia" w:ascii="宋体" w:hAnsi="宋体" w:eastAsia="宋体" w:cs="宋体"/>
          <w:lang w:eastAsia="zh-CN"/>
        </w:rPr>
      </w:pPr>
      <w:r>
        <w:rPr>
          <w:rFonts w:hint="eastAsia" w:ascii="宋体" w:hAnsi="宋体" w:eastAsia="宋体" w:cs="宋体"/>
          <w:b/>
          <w:color w:val="000000"/>
          <w:lang w:eastAsia="zh-CN"/>
        </w:rPr>
        <w:t>其他要求</w:t>
      </w:r>
      <w:r>
        <w:rPr>
          <w:rFonts w:hint="eastAsia" w:ascii="宋体" w:hAnsi="宋体" w:eastAsia="宋体" w:cs="宋体"/>
          <w:color w:val="000000"/>
          <w:lang w:eastAsia="zh-CN"/>
        </w:rPr>
        <w:t>：参与企业须遵守国家相关法律法规及大会的各项规定，确保会务服务的安全、有序进行。</w:t>
      </w:r>
    </w:p>
    <w:p w14:paraId="71113B2C">
      <w:pPr>
        <w:spacing w:before="269" w:after="269"/>
        <w:ind w:left="120"/>
        <w:rPr>
          <w:rFonts w:hint="eastAsia" w:ascii="宋体" w:hAnsi="宋体" w:eastAsia="宋体" w:cs="宋体"/>
          <w:sz w:val="24"/>
          <w:szCs w:val="24"/>
        </w:rPr>
      </w:pPr>
      <w:r>
        <w:rPr>
          <w:rFonts w:hint="eastAsia" w:ascii="宋体" w:hAnsi="宋体" w:eastAsia="宋体" w:cs="宋体"/>
          <w:b/>
          <w:color w:val="000000"/>
          <w:sz w:val="24"/>
          <w:szCs w:val="24"/>
        </w:rPr>
        <w:t>四、</w:t>
      </w:r>
      <w:r>
        <w:rPr>
          <w:rFonts w:hint="eastAsia" w:ascii="宋体" w:hAnsi="宋体" w:eastAsia="宋体" w:cs="宋体"/>
          <w:b/>
          <w:color w:val="000000"/>
          <w:sz w:val="24"/>
          <w:szCs w:val="24"/>
          <w:lang w:eastAsia="zh-CN"/>
        </w:rPr>
        <w:t>投标</w:t>
      </w:r>
      <w:r>
        <w:rPr>
          <w:rFonts w:hint="eastAsia" w:ascii="宋体" w:hAnsi="宋体" w:eastAsia="宋体" w:cs="宋体"/>
          <w:b/>
          <w:color w:val="000000"/>
          <w:sz w:val="24"/>
          <w:szCs w:val="24"/>
        </w:rPr>
        <w:t>文件要求</w:t>
      </w:r>
    </w:p>
    <w:p w14:paraId="3D17EC83">
      <w:pPr>
        <w:numPr>
          <w:ilvl w:val="0"/>
          <w:numId w:val="2"/>
        </w:numPr>
        <w:spacing w:after="0"/>
        <w:rPr>
          <w:rFonts w:hint="eastAsia" w:ascii="宋体" w:hAnsi="宋体" w:eastAsia="宋体" w:cs="宋体"/>
        </w:rPr>
      </w:pPr>
      <w:r>
        <w:rPr>
          <w:rFonts w:hint="eastAsia" w:ascii="宋体" w:hAnsi="宋体" w:eastAsia="宋体" w:cs="宋体"/>
          <w:b/>
          <w:color w:val="000000"/>
          <w:lang w:eastAsia="zh-CN"/>
        </w:rPr>
        <w:t>投标</w:t>
      </w:r>
      <w:r>
        <w:rPr>
          <w:rFonts w:hint="eastAsia" w:ascii="宋体" w:hAnsi="宋体" w:eastAsia="宋体" w:cs="宋体"/>
          <w:b/>
          <w:color w:val="000000"/>
        </w:rPr>
        <w:t>文件内容</w:t>
      </w:r>
      <w:r>
        <w:rPr>
          <w:rFonts w:hint="eastAsia" w:ascii="宋体" w:hAnsi="宋体" w:eastAsia="宋体" w:cs="宋体"/>
          <w:color w:val="000000"/>
        </w:rPr>
        <w:t>：</w:t>
      </w:r>
    </w:p>
    <w:p w14:paraId="59D93C39">
      <w:pPr>
        <w:numPr>
          <w:ilvl w:val="1"/>
          <w:numId w:val="2"/>
        </w:numPr>
        <w:spacing w:after="0"/>
        <w:rPr>
          <w:rFonts w:hint="eastAsia" w:ascii="宋体" w:hAnsi="宋体" w:eastAsia="宋体" w:cs="宋体"/>
          <w:lang w:eastAsia="zh-CN"/>
        </w:rPr>
      </w:pPr>
      <w:r>
        <w:rPr>
          <w:rFonts w:hint="eastAsia" w:ascii="宋体" w:hAnsi="宋体" w:eastAsia="宋体" w:cs="宋体"/>
          <w:b/>
          <w:color w:val="000000"/>
          <w:lang w:eastAsia="zh-CN"/>
        </w:rPr>
        <w:t>公司简介</w:t>
      </w:r>
      <w:r>
        <w:rPr>
          <w:rFonts w:hint="eastAsia" w:ascii="宋体" w:hAnsi="宋体" w:eastAsia="宋体" w:cs="宋体"/>
          <w:color w:val="000000"/>
          <w:lang w:eastAsia="zh-CN"/>
        </w:rPr>
        <w:t>：包括公司资质、历史业绩、团队介绍等。</w:t>
      </w:r>
    </w:p>
    <w:p w14:paraId="7DE8405A">
      <w:pPr>
        <w:numPr>
          <w:ilvl w:val="1"/>
          <w:numId w:val="2"/>
        </w:numPr>
        <w:spacing w:after="0"/>
        <w:rPr>
          <w:rFonts w:hint="eastAsia" w:ascii="宋体" w:hAnsi="宋体" w:eastAsia="宋体" w:cs="宋体"/>
          <w:lang w:eastAsia="zh-CN"/>
        </w:rPr>
      </w:pPr>
      <w:r>
        <w:rPr>
          <w:rFonts w:hint="eastAsia" w:ascii="宋体" w:hAnsi="宋体" w:eastAsia="宋体" w:cs="宋体"/>
          <w:b/>
          <w:color w:val="000000"/>
          <w:lang w:eastAsia="zh-CN"/>
        </w:rPr>
        <w:t>服务方案</w:t>
      </w:r>
      <w:r>
        <w:rPr>
          <w:rFonts w:hint="eastAsia" w:ascii="宋体" w:hAnsi="宋体" w:eastAsia="宋体" w:cs="宋体"/>
          <w:color w:val="000000"/>
          <w:lang w:eastAsia="zh-CN"/>
        </w:rPr>
        <w:t>：详细阐述针对本次大会的会务服务方案，包括策划思路、执行计划、人员配置等。</w:t>
      </w:r>
    </w:p>
    <w:p w14:paraId="51F9C13E">
      <w:pPr>
        <w:numPr>
          <w:ilvl w:val="1"/>
          <w:numId w:val="2"/>
        </w:numPr>
        <w:spacing w:after="0"/>
        <w:rPr>
          <w:rFonts w:hint="eastAsia" w:ascii="宋体" w:hAnsi="宋体" w:eastAsia="宋体" w:cs="宋体"/>
          <w:lang w:eastAsia="zh-CN"/>
        </w:rPr>
      </w:pPr>
      <w:r>
        <w:rPr>
          <w:rFonts w:hint="eastAsia" w:ascii="宋体" w:hAnsi="宋体" w:eastAsia="宋体" w:cs="宋体"/>
          <w:b/>
          <w:color w:val="000000"/>
          <w:lang w:eastAsia="zh-CN"/>
        </w:rPr>
        <w:t>预算明细</w:t>
      </w:r>
      <w:r>
        <w:rPr>
          <w:rFonts w:hint="eastAsia" w:ascii="宋体" w:hAnsi="宋体" w:eastAsia="宋体" w:cs="宋体"/>
          <w:color w:val="000000"/>
          <w:lang w:eastAsia="zh-CN"/>
        </w:rPr>
        <w:t>：提供详细的预算明细表，包括各项费用的预算及报价。</w:t>
      </w:r>
    </w:p>
    <w:p w14:paraId="75774DCC">
      <w:pPr>
        <w:numPr>
          <w:ilvl w:val="1"/>
          <w:numId w:val="2"/>
        </w:numPr>
        <w:spacing w:after="0"/>
        <w:rPr>
          <w:rFonts w:hint="eastAsia" w:ascii="宋体" w:hAnsi="宋体" w:eastAsia="宋体" w:cs="宋体"/>
          <w:lang w:eastAsia="zh-CN"/>
        </w:rPr>
      </w:pPr>
      <w:r>
        <w:rPr>
          <w:rFonts w:hint="eastAsia" w:ascii="宋体" w:hAnsi="宋体" w:eastAsia="宋体" w:cs="宋体"/>
          <w:b/>
          <w:color w:val="000000"/>
          <w:lang w:eastAsia="zh-CN"/>
        </w:rPr>
        <w:t>质量保证措施</w:t>
      </w:r>
      <w:r>
        <w:rPr>
          <w:rFonts w:hint="eastAsia" w:ascii="宋体" w:hAnsi="宋体" w:eastAsia="宋体" w:cs="宋体"/>
          <w:color w:val="000000"/>
          <w:lang w:eastAsia="zh-CN"/>
        </w:rPr>
        <w:t>：明确服务过程中的质量保证措施及售后服务承诺。</w:t>
      </w:r>
    </w:p>
    <w:p w14:paraId="7CF088FC">
      <w:pPr>
        <w:numPr>
          <w:ilvl w:val="1"/>
          <w:numId w:val="2"/>
        </w:numPr>
        <w:spacing w:after="0"/>
        <w:rPr>
          <w:rFonts w:hint="eastAsia" w:ascii="宋体" w:hAnsi="宋体" w:eastAsia="宋体" w:cs="宋体"/>
          <w:lang w:eastAsia="zh-CN"/>
        </w:rPr>
      </w:pPr>
      <w:r>
        <w:rPr>
          <w:rFonts w:hint="eastAsia" w:ascii="宋体" w:hAnsi="宋体" w:eastAsia="宋体" w:cs="宋体"/>
          <w:b/>
          <w:color w:val="000000"/>
          <w:lang w:eastAsia="zh-CN"/>
        </w:rPr>
        <w:t>其他相关材料</w:t>
      </w:r>
      <w:r>
        <w:rPr>
          <w:rFonts w:hint="eastAsia" w:ascii="宋体" w:hAnsi="宋体" w:eastAsia="宋体" w:cs="宋体"/>
          <w:color w:val="000000"/>
          <w:lang w:eastAsia="zh-CN"/>
        </w:rPr>
        <w:t>：如公司营业执照、资质证书等复印件（加盖公章）。</w:t>
      </w:r>
    </w:p>
    <w:p w14:paraId="32C431BF">
      <w:pPr>
        <w:numPr>
          <w:ilvl w:val="0"/>
          <w:numId w:val="2"/>
        </w:numPr>
        <w:spacing w:after="0"/>
        <w:rPr>
          <w:rFonts w:hint="eastAsia" w:ascii="宋体" w:hAnsi="宋体" w:eastAsia="宋体" w:cs="宋体"/>
          <w:lang w:eastAsia="zh-CN"/>
        </w:rPr>
      </w:pPr>
      <w:r>
        <w:rPr>
          <w:rFonts w:hint="eastAsia" w:ascii="宋体" w:hAnsi="宋体" w:eastAsia="宋体" w:cs="宋体"/>
          <w:b/>
          <w:color w:val="000000"/>
          <w:lang w:eastAsia="zh-CN"/>
        </w:rPr>
        <w:t>投标文件格式</w:t>
      </w:r>
      <w:r>
        <w:rPr>
          <w:rFonts w:hint="eastAsia" w:ascii="宋体" w:hAnsi="宋体" w:eastAsia="宋体" w:cs="宋体"/>
          <w:color w:val="000000"/>
          <w:lang w:eastAsia="zh-CN"/>
        </w:rPr>
        <w:t>：根据投标文件内容要求，以PPT、PDF格式提交至指定邮箱。</w:t>
      </w:r>
    </w:p>
    <w:p w14:paraId="2BB52C27">
      <w:pPr>
        <w:numPr>
          <w:ilvl w:val="0"/>
          <w:numId w:val="2"/>
        </w:numPr>
        <w:spacing w:after="0"/>
        <w:rPr>
          <w:rFonts w:hint="eastAsia" w:ascii="宋体" w:hAnsi="宋体" w:eastAsia="宋体" w:cs="宋体"/>
        </w:rPr>
      </w:pPr>
      <w:r>
        <w:rPr>
          <w:rFonts w:hint="eastAsia" w:ascii="宋体" w:hAnsi="宋体" w:eastAsia="宋体" w:cs="宋体"/>
          <w:b/>
          <w:color w:val="000000"/>
          <w:lang w:eastAsia="zh-CN"/>
        </w:rPr>
        <w:t>投标</w:t>
      </w:r>
      <w:r>
        <w:rPr>
          <w:rFonts w:hint="eastAsia" w:ascii="宋体" w:hAnsi="宋体" w:eastAsia="宋体" w:cs="宋体"/>
          <w:b/>
          <w:color w:val="000000"/>
        </w:rPr>
        <w:t>文件递交</w:t>
      </w:r>
      <w:r>
        <w:rPr>
          <w:rFonts w:hint="eastAsia" w:ascii="宋体" w:hAnsi="宋体" w:eastAsia="宋体" w:cs="宋体"/>
          <w:color w:val="000000"/>
        </w:rPr>
        <w:t>：</w:t>
      </w:r>
    </w:p>
    <w:p w14:paraId="606B9DBF">
      <w:pPr>
        <w:numPr>
          <w:ilvl w:val="1"/>
          <w:numId w:val="3"/>
        </w:numPr>
        <w:spacing w:after="0"/>
        <w:rPr>
          <w:rFonts w:hint="eastAsia" w:ascii="宋体" w:hAnsi="宋体" w:eastAsia="宋体" w:cs="宋体"/>
          <w:lang w:eastAsia="zh-CN"/>
        </w:rPr>
      </w:pPr>
      <w:r>
        <w:rPr>
          <w:rFonts w:hint="eastAsia" w:ascii="宋体" w:hAnsi="宋体" w:eastAsia="宋体" w:cs="宋体"/>
          <w:b/>
          <w:color w:val="000000"/>
          <w:lang w:eastAsia="zh-CN"/>
        </w:rPr>
        <w:t>递交截止时间</w:t>
      </w:r>
      <w:r>
        <w:rPr>
          <w:rFonts w:hint="eastAsia" w:ascii="宋体" w:hAnsi="宋体" w:eastAsia="宋体" w:cs="宋体"/>
          <w:lang w:eastAsia="zh-CN"/>
        </w:rPr>
        <w:t>：2026年</w:t>
      </w:r>
      <w:r>
        <w:rPr>
          <w:rFonts w:hint="eastAsia" w:ascii="宋体" w:hAnsi="宋体" w:eastAsia="宋体" w:cs="宋体"/>
          <w:lang w:val="en-US" w:eastAsia="zh-CN"/>
        </w:rPr>
        <w:t xml:space="preserve"> 9</w:t>
      </w:r>
      <w:r>
        <w:rPr>
          <w:rFonts w:hint="eastAsia" w:ascii="宋体" w:hAnsi="宋体" w:eastAsia="宋体" w:cs="宋体"/>
          <w:lang w:eastAsia="zh-CN"/>
        </w:rPr>
        <w:t xml:space="preserve">月 </w:t>
      </w:r>
      <w:r>
        <w:rPr>
          <w:rFonts w:hint="eastAsia" w:ascii="宋体" w:hAnsi="宋体" w:eastAsia="宋体" w:cs="宋体"/>
          <w:lang w:val="en-US" w:eastAsia="zh-CN"/>
        </w:rPr>
        <w:t xml:space="preserve">21 </w:t>
      </w:r>
      <w:r>
        <w:rPr>
          <w:rFonts w:hint="eastAsia" w:ascii="宋体" w:hAnsi="宋体" w:eastAsia="宋体" w:cs="宋体"/>
          <w:lang w:eastAsia="zh-CN"/>
        </w:rPr>
        <w:t>日17：00前，请参与企业密切关注后续投标通知。</w:t>
      </w:r>
    </w:p>
    <w:p w14:paraId="1B8F9077">
      <w:pPr>
        <w:numPr>
          <w:ilvl w:val="1"/>
          <w:numId w:val="3"/>
        </w:numPr>
        <w:spacing w:after="0"/>
        <w:rPr>
          <w:rFonts w:hint="eastAsia" w:ascii="宋体" w:hAnsi="宋体" w:eastAsia="宋体" w:cs="宋体"/>
          <w:lang w:eastAsia="zh-CN"/>
        </w:rPr>
      </w:pPr>
      <w:r>
        <w:rPr>
          <w:rFonts w:hint="eastAsia" w:ascii="宋体" w:hAnsi="宋体" w:eastAsia="宋体" w:cs="宋体"/>
          <w:b/>
          <w:lang w:eastAsia="zh-CN"/>
        </w:rPr>
        <w:t>递交地点</w:t>
      </w:r>
      <w:r>
        <w:rPr>
          <w:rFonts w:hint="eastAsia" w:ascii="宋体" w:hAnsi="宋体" w:eastAsia="宋体" w:cs="宋体"/>
          <w:lang w:eastAsia="zh-CN"/>
        </w:rPr>
        <w:t>：线下</w:t>
      </w:r>
      <w:r>
        <w:rPr>
          <w:rFonts w:hint="eastAsia" w:ascii="宋体" w:hAnsi="宋体" w:eastAsia="宋体" w:cs="宋体"/>
          <w:lang w:val="en-US" w:eastAsia="zh-CN"/>
        </w:rPr>
        <w:t>可</w:t>
      </w:r>
      <w:bookmarkStart w:id="1" w:name="_GoBack"/>
      <w:bookmarkEnd w:id="1"/>
      <w:r>
        <w:rPr>
          <w:rFonts w:hint="eastAsia" w:ascii="宋体" w:hAnsi="宋体" w:eastAsia="宋体" w:cs="宋体"/>
          <w:lang w:eastAsia="zh-CN"/>
        </w:rPr>
        <w:t>提交至上海市董家渡路200号外滩中心T3栋16楼上海东浩兰生会展（集团）有限公司，请参</w:t>
      </w:r>
      <w:r>
        <w:rPr>
          <w:rFonts w:hint="eastAsia" w:ascii="宋体" w:hAnsi="宋体" w:eastAsia="宋体" w:cs="宋体"/>
          <w:color w:val="000000"/>
          <w:lang w:eastAsia="zh-CN"/>
        </w:rPr>
        <w:t>与企业按照采购公告要求准时递交投标文件。</w:t>
      </w:r>
    </w:p>
    <w:p w14:paraId="6DA5E42B">
      <w:pPr>
        <w:spacing w:before="269" w:after="269"/>
        <w:ind w:left="120"/>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五、评分办法与标准</w:t>
      </w:r>
    </w:p>
    <w:p w14:paraId="7E299D54">
      <w:pPr>
        <w:spacing w:line="360" w:lineRule="auto"/>
        <w:ind w:firstLine="440" w:firstLineChars="200"/>
        <w:rPr>
          <w:rFonts w:hint="eastAsia" w:ascii="宋体" w:hAnsi="宋体" w:eastAsia="宋体" w:cs="宋体"/>
          <w:b/>
          <w:color w:val="000000"/>
          <w:sz w:val="24"/>
          <w:szCs w:val="24"/>
          <w:lang w:eastAsia="zh-CN"/>
        </w:rPr>
      </w:pPr>
      <w:r>
        <w:rPr>
          <w:rFonts w:hint="eastAsia" w:ascii="宋体" w:hAnsi="宋体" w:eastAsia="宋体" w:cs="宋体"/>
          <w:color w:val="000000"/>
          <w:lang w:eastAsia="zh-CN"/>
        </w:rPr>
        <w:t>后续将进行线下或线上比选工作，具体时间将以邮件形式通知各入围企业。本次采购将采用综合评分法进行评标，评委将根据投标文件的完整性、服务方案的合理性、预算报价的竞争力、公司实力与信誉等多个方面进行综合评分，最终确定中标单位。</w:t>
      </w:r>
    </w:p>
    <w:p w14:paraId="1D85AE08">
      <w:pPr>
        <w:spacing w:before="269" w:after="269"/>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六、联系方式</w:t>
      </w:r>
    </w:p>
    <w:p w14:paraId="2C722EF7">
      <w:pPr>
        <w:spacing w:before="269" w:after="269"/>
        <w:ind w:left="120"/>
        <w:rPr>
          <w:rFonts w:hint="eastAsia" w:ascii="宋体" w:hAnsi="宋体" w:eastAsia="宋体" w:cs="宋体"/>
          <w:color w:val="000000"/>
          <w:lang w:eastAsia="zh-CN"/>
        </w:rPr>
      </w:pPr>
      <w:r>
        <w:rPr>
          <w:rFonts w:hint="eastAsia" w:ascii="宋体" w:hAnsi="宋体" w:eastAsia="宋体" w:cs="宋体"/>
          <w:color w:val="000000"/>
          <w:lang w:eastAsia="zh-CN"/>
        </w:rPr>
        <w:t>采购单位：上海东浩兰生会展（集团）有限公司</w:t>
      </w:r>
    </w:p>
    <w:p w14:paraId="33808D34">
      <w:pPr>
        <w:spacing w:before="269" w:after="269"/>
        <w:ind w:left="120"/>
        <w:rPr>
          <w:rFonts w:hint="eastAsia" w:ascii="宋体" w:hAnsi="宋体" w:eastAsia="宋体" w:cs="宋体"/>
          <w:color w:val="000000"/>
          <w:lang w:eastAsia="zh-CN"/>
        </w:rPr>
      </w:pPr>
      <w:r>
        <w:rPr>
          <w:rFonts w:hint="eastAsia" w:ascii="宋体" w:hAnsi="宋体" w:eastAsia="宋体" w:cs="宋体"/>
          <w:color w:val="000000"/>
        </w:rPr>
        <w:t>联系人：</w:t>
      </w:r>
      <w:r>
        <w:rPr>
          <w:rFonts w:hint="eastAsia" w:ascii="宋体" w:hAnsi="宋体" w:eastAsia="宋体" w:cs="宋体"/>
          <w:color w:val="000000"/>
          <w:lang w:val="en-US" w:eastAsia="zh-CN"/>
        </w:rPr>
        <w:t>孙翰元</w:t>
      </w:r>
    </w:p>
    <w:p w14:paraId="65B5C4B4">
      <w:pPr>
        <w:spacing w:before="269" w:after="269"/>
        <w:ind w:left="120"/>
        <w:rPr>
          <w:rFonts w:hint="eastAsia" w:ascii="宋体" w:hAnsi="宋体" w:eastAsia="宋体" w:cs="宋体"/>
          <w:color w:val="000000"/>
          <w:lang w:eastAsia="zh-CN"/>
        </w:rPr>
      </w:pPr>
      <w:r>
        <w:rPr>
          <w:rFonts w:hint="eastAsia" w:ascii="宋体" w:hAnsi="宋体" w:eastAsia="宋体" w:cs="宋体"/>
          <w:color w:val="000000"/>
        </w:rPr>
        <w:t>电子邮箱：sunhanyuan@dlg-expo.com</w:t>
      </w:r>
      <w:r>
        <w:rPr>
          <w:rFonts w:hint="eastAsia" w:ascii="宋体" w:hAnsi="宋体" w:eastAsia="宋体" w:cs="宋体"/>
          <w:color w:val="000000"/>
          <w:lang w:eastAsia="zh-CN"/>
        </w:rPr>
        <w:t xml:space="preserve"> </w:t>
      </w:r>
    </w:p>
    <w:p w14:paraId="09480BCE">
      <w:pPr>
        <w:spacing w:before="269" w:after="269"/>
        <w:ind w:left="120"/>
        <w:rPr>
          <w:rFonts w:hint="default" w:ascii="宋体" w:hAnsi="宋体" w:eastAsia="宋体" w:cs="宋体"/>
          <w:color w:val="000000"/>
          <w:lang w:val="en-US" w:eastAsia="zh-CN"/>
        </w:rPr>
      </w:pPr>
      <w:r>
        <w:rPr>
          <w:rFonts w:hint="eastAsia" w:ascii="宋体" w:hAnsi="宋体" w:eastAsia="宋体" w:cs="宋体"/>
          <w:color w:val="000000"/>
          <w:lang w:eastAsia="zh-CN"/>
        </w:rPr>
        <w:t>联系电话：</w:t>
      </w:r>
      <w:r>
        <w:rPr>
          <w:rFonts w:hint="eastAsia" w:ascii="宋体" w:hAnsi="宋体" w:eastAsia="宋体" w:cs="宋体"/>
          <w:color w:val="000000"/>
          <w:lang w:val="en-US" w:eastAsia="zh-CN"/>
        </w:rPr>
        <w:t>18901899989</w:t>
      </w:r>
    </w:p>
    <w:p w14:paraId="2BF98C38">
      <w:pPr>
        <w:spacing w:before="269" w:after="269"/>
        <w:ind w:left="120"/>
        <w:rPr>
          <w:rFonts w:hint="eastAsia" w:ascii="宋体" w:hAnsi="宋体" w:eastAsia="宋体" w:cs="宋体"/>
          <w:color w:val="000000"/>
          <w:lang w:eastAsia="zh-CN"/>
        </w:rPr>
      </w:pPr>
      <w:r>
        <w:rPr>
          <w:rFonts w:hint="eastAsia" w:ascii="宋体" w:hAnsi="宋体" w:eastAsia="宋体" w:cs="宋体"/>
          <w:color w:val="000000"/>
          <w:lang w:eastAsia="zh-CN"/>
        </w:rPr>
        <w:t>如有疑问请通过以上方式咨询</w:t>
      </w:r>
    </w:p>
    <w:p w14:paraId="1F850488">
      <w:pPr>
        <w:spacing w:before="269" w:after="269"/>
        <w:ind w:left="120"/>
        <w:rPr>
          <w:rFonts w:hint="eastAsia" w:ascii="宋体" w:hAnsi="宋体" w:eastAsia="宋体" w:cs="宋体"/>
          <w:sz w:val="24"/>
          <w:szCs w:val="24"/>
          <w:lang w:eastAsia="zh-CN"/>
        </w:rPr>
      </w:pPr>
      <w:r>
        <w:rPr>
          <w:rFonts w:hint="eastAsia" w:ascii="宋体" w:hAnsi="宋体" w:eastAsia="宋体" w:cs="宋体"/>
          <w:b/>
          <w:color w:val="000000"/>
          <w:sz w:val="24"/>
          <w:szCs w:val="24"/>
          <w:lang w:eastAsia="zh-CN"/>
        </w:rPr>
        <w:t>七、其他事项</w:t>
      </w:r>
    </w:p>
    <w:p w14:paraId="4D0B941F">
      <w:pPr>
        <w:numPr>
          <w:ilvl w:val="0"/>
          <w:numId w:val="4"/>
        </w:numPr>
        <w:spacing w:after="0" w:line="360" w:lineRule="auto"/>
        <w:ind w:left="709"/>
        <w:rPr>
          <w:rFonts w:hint="eastAsia" w:ascii="宋体" w:hAnsi="宋体" w:eastAsia="宋体" w:cs="宋体"/>
          <w:lang w:eastAsia="zh-CN"/>
        </w:rPr>
      </w:pPr>
      <w:r>
        <w:rPr>
          <w:rFonts w:hint="eastAsia" w:ascii="宋体" w:hAnsi="宋体" w:eastAsia="宋体" w:cs="宋体"/>
          <w:b/>
          <w:color w:val="000000"/>
          <w:lang w:eastAsia="zh-CN"/>
        </w:rPr>
        <w:t>公示期</w:t>
      </w:r>
      <w:r>
        <w:rPr>
          <w:rFonts w:hint="eastAsia" w:ascii="宋体" w:hAnsi="宋体" w:eastAsia="宋体" w:cs="宋体"/>
          <w:color w:val="000000"/>
          <w:lang w:eastAsia="zh-CN"/>
        </w:rPr>
        <w:t>：本采购公告自发布之日起公示五天，请参与企业密切关注后续通知。</w:t>
      </w:r>
    </w:p>
    <w:p w14:paraId="503E4460">
      <w:pPr>
        <w:numPr>
          <w:ilvl w:val="0"/>
          <w:numId w:val="4"/>
        </w:numPr>
        <w:spacing w:after="0" w:line="360" w:lineRule="auto"/>
        <w:ind w:left="709"/>
        <w:rPr>
          <w:rFonts w:hint="eastAsia" w:ascii="宋体" w:hAnsi="宋体" w:eastAsia="宋体" w:cs="宋体"/>
          <w:b/>
          <w:color w:val="000000"/>
          <w:lang w:eastAsia="zh-CN"/>
        </w:rPr>
      </w:pPr>
      <w:r>
        <w:rPr>
          <w:rFonts w:hint="eastAsia" w:ascii="宋体" w:hAnsi="宋体" w:eastAsia="宋体" w:cs="宋体"/>
          <w:b/>
          <w:color w:val="000000"/>
          <w:lang w:eastAsia="zh-CN"/>
        </w:rPr>
        <w:t>澄清与答疑：</w:t>
      </w:r>
      <w:r>
        <w:rPr>
          <w:rFonts w:hint="eastAsia" w:ascii="宋体" w:hAnsi="宋体" w:eastAsia="宋体" w:cs="宋体"/>
          <w:bCs/>
          <w:color w:val="000000"/>
          <w:lang w:eastAsia="zh-CN"/>
        </w:rPr>
        <w:t>参与企业对采购公告有疑问的，可在公示期内向采购单位提出澄清或答疑请求。</w:t>
      </w:r>
    </w:p>
    <w:p w14:paraId="7FD1EBEA">
      <w:pPr>
        <w:spacing w:after="0" w:line="360" w:lineRule="auto"/>
        <w:rPr>
          <w:rFonts w:hint="eastAsia" w:ascii="宋体" w:hAnsi="宋体" w:eastAsia="宋体" w:cs="宋体"/>
          <w:b/>
          <w:color w:val="000000"/>
          <w:lang w:eastAsia="zh-CN"/>
        </w:rPr>
      </w:pPr>
    </w:p>
    <w:p w14:paraId="3354766E">
      <w:pPr>
        <w:spacing w:before="269" w:after="269"/>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上海东浩兰生会展（集团）有限公司</w:t>
      </w:r>
    </w:p>
    <w:p w14:paraId="4A502EB4">
      <w:pPr>
        <w:spacing w:before="269" w:after="269"/>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二〇二六年九月</w:t>
      </w:r>
      <w:r>
        <w:rPr>
          <w:rFonts w:hint="eastAsia" w:ascii="宋体" w:hAnsi="宋体" w:eastAsia="宋体" w:cs="宋体"/>
          <w:color w:val="000000"/>
          <w:sz w:val="24"/>
          <w:szCs w:val="24"/>
          <w:lang w:val="en-US" w:eastAsia="zh-CN"/>
        </w:rPr>
        <w:t>十五</w:t>
      </w:r>
      <w:r>
        <w:rPr>
          <w:rFonts w:hint="eastAsia" w:ascii="宋体" w:hAnsi="宋体" w:eastAsia="宋体" w:cs="宋体"/>
          <w:color w:val="000000"/>
          <w:sz w:val="24"/>
          <w:szCs w:val="24"/>
          <w:lang w:eastAsia="zh-CN"/>
        </w:rPr>
        <w:t>日</w:t>
      </w:r>
    </w:p>
    <w:sectPr>
      <w:pgSz w:w="11906" w:h="16838"/>
      <w:pgMar w:top="1440" w:right="1526"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Noto Sans SC">
    <w:altName w:val="冬青黑体简体中文"/>
    <w:panose1 w:val="020B0200000000000000"/>
    <w:charset w:val="86"/>
    <w:family w:val="swiss"/>
    <w:pitch w:val="default"/>
    <w:sig w:usb0="00000000" w:usb1="00000000" w:usb2="00000016" w:usb3="00000000" w:csb0="00060107"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decimal"/>
      <w:lvlText w:val="%1."/>
      <w:lvlJc w:val="left"/>
      <w:pPr>
        <w:ind w:left="960" w:hanging="360"/>
      </w:pPr>
    </w:lvl>
  </w:abstractNum>
  <w:abstractNum w:abstractNumId="1">
    <w:nsid w:val="CF092B84"/>
    <w:multiLevelType w:val="singleLevel"/>
    <w:tmpl w:val="CF092B84"/>
    <w:lvl w:ilvl="0" w:tentative="0">
      <w:start w:val="1"/>
      <w:numFmt w:val="decimal"/>
      <w:lvlText w:val="%1."/>
      <w:lvlJc w:val="left"/>
      <w:pPr>
        <w:ind w:left="960" w:hanging="360"/>
      </w:pPr>
    </w:lvl>
  </w:abstractNum>
  <w:abstractNum w:abstractNumId="2">
    <w:nsid w:val="59ADCABA"/>
    <w:multiLevelType w:val="multilevel"/>
    <w:tmpl w:val="59ADCABA"/>
    <w:lvl w:ilvl="0" w:tentative="0">
      <w:start w:val="1"/>
      <w:numFmt w:val="decimal"/>
      <w:lvlText w:val="%1."/>
      <w:lvlJc w:val="left"/>
      <w:pPr>
        <w:ind w:left="960" w:hanging="360"/>
      </w:pPr>
    </w:lvl>
    <w:lvl w:ilvl="1" w:tentative="0">
      <w:start w:val="1"/>
      <w:numFmt w:val="bullet"/>
      <w:lvlText w:val=""/>
      <w:lvlJc w:val="left"/>
      <w:pPr>
        <w:ind w:left="1560" w:hanging="360"/>
      </w:pPr>
      <w:rPr>
        <w:rFonts w:hint="default" w:ascii="Symbol" w:hAnsi="Symbol"/>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2"/>
  </w:num>
  <w:num w:numId="3">
    <w:abstractNumId w:val="2"/>
    <w:lvlOverride w:ilvl="1">
      <w:lvl w:ilvl="1" w:tentative="1">
        <w:start w:val="0"/>
        <w:numFmt w:val="bullet"/>
        <w:lvlText w:val=""/>
        <w:lvlJc w:val="left"/>
        <w:pPr>
          <w:ind w:left="1560" w:hanging="360"/>
        </w:pPr>
        <w:rPr>
          <w:rFonts w:hint="default" w:ascii="Symbol" w:hAnsi="Symbol"/>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9"/>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530A0"/>
    <w:rsid w:val="00050E89"/>
    <w:rsid w:val="000D121E"/>
    <w:rsid w:val="00152C7C"/>
    <w:rsid w:val="001557F3"/>
    <w:rsid w:val="00196739"/>
    <w:rsid w:val="001C206B"/>
    <w:rsid w:val="001C4865"/>
    <w:rsid w:val="001E150A"/>
    <w:rsid w:val="002155A3"/>
    <w:rsid w:val="002B0643"/>
    <w:rsid w:val="002E0EC2"/>
    <w:rsid w:val="00352D22"/>
    <w:rsid w:val="003D06DB"/>
    <w:rsid w:val="00444596"/>
    <w:rsid w:val="00500F5D"/>
    <w:rsid w:val="00513100"/>
    <w:rsid w:val="00523231"/>
    <w:rsid w:val="006237A6"/>
    <w:rsid w:val="006B3637"/>
    <w:rsid w:val="006C107D"/>
    <w:rsid w:val="006E1E35"/>
    <w:rsid w:val="00757084"/>
    <w:rsid w:val="007A5316"/>
    <w:rsid w:val="007E4E45"/>
    <w:rsid w:val="00845B80"/>
    <w:rsid w:val="008753B8"/>
    <w:rsid w:val="0087579A"/>
    <w:rsid w:val="00882D89"/>
    <w:rsid w:val="008C29B3"/>
    <w:rsid w:val="00927780"/>
    <w:rsid w:val="009302A9"/>
    <w:rsid w:val="009364EA"/>
    <w:rsid w:val="00936ED0"/>
    <w:rsid w:val="00971B37"/>
    <w:rsid w:val="00971EE3"/>
    <w:rsid w:val="0098366F"/>
    <w:rsid w:val="009869EF"/>
    <w:rsid w:val="009942DF"/>
    <w:rsid w:val="00A26A6D"/>
    <w:rsid w:val="00A43D7E"/>
    <w:rsid w:val="00AB0D2A"/>
    <w:rsid w:val="00AD73D8"/>
    <w:rsid w:val="00AE0E08"/>
    <w:rsid w:val="00AF4515"/>
    <w:rsid w:val="00B14699"/>
    <w:rsid w:val="00B4006C"/>
    <w:rsid w:val="00BB1768"/>
    <w:rsid w:val="00C033BB"/>
    <w:rsid w:val="00C07BBE"/>
    <w:rsid w:val="00CA4B1B"/>
    <w:rsid w:val="00CB1751"/>
    <w:rsid w:val="00CB42B1"/>
    <w:rsid w:val="00CE1550"/>
    <w:rsid w:val="00CF4E19"/>
    <w:rsid w:val="00DD7BD0"/>
    <w:rsid w:val="00E23FDE"/>
    <w:rsid w:val="00E34CAC"/>
    <w:rsid w:val="00E83C83"/>
    <w:rsid w:val="00E852C6"/>
    <w:rsid w:val="00E903D6"/>
    <w:rsid w:val="00F55005"/>
    <w:rsid w:val="02236B42"/>
    <w:rsid w:val="0E0A5692"/>
    <w:rsid w:val="108F4E99"/>
    <w:rsid w:val="112371A2"/>
    <w:rsid w:val="13197383"/>
    <w:rsid w:val="149A2E5A"/>
    <w:rsid w:val="1A917E59"/>
    <w:rsid w:val="1E4F51D9"/>
    <w:rsid w:val="1F3E3EED"/>
    <w:rsid w:val="23F16A51"/>
    <w:rsid w:val="25615079"/>
    <w:rsid w:val="26A41686"/>
    <w:rsid w:val="27487386"/>
    <w:rsid w:val="28357004"/>
    <w:rsid w:val="294E39F0"/>
    <w:rsid w:val="2CC57637"/>
    <w:rsid w:val="2FBF1E86"/>
    <w:rsid w:val="31940C65"/>
    <w:rsid w:val="34BE4CD3"/>
    <w:rsid w:val="363B5256"/>
    <w:rsid w:val="3BFD3867"/>
    <w:rsid w:val="3C3144CC"/>
    <w:rsid w:val="3D443BFF"/>
    <w:rsid w:val="3EC040FF"/>
    <w:rsid w:val="437B269F"/>
    <w:rsid w:val="480B6CB9"/>
    <w:rsid w:val="485918C9"/>
    <w:rsid w:val="4C6650CB"/>
    <w:rsid w:val="4F9C5B1D"/>
    <w:rsid w:val="4FFA5D3F"/>
    <w:rsid w:val="509D55CD"/>
    <w:rsid w:val="510060B8"/>
    <w:rsid w:val="532A031B"/>
    <w:rsid w:val="5A2407BC"/>
    <w:rsid w:val="60725AC7"/>
    <w:rsid w:val="612D317D"/>
    <w:rsid w:val="648C045C"/>
    <w:rsid w:val="6CF25AC6"/>
    <w:rsid w:val="6DD530A0"/>
    <w:rsid w:val="6E4E0F7F"/>
    <w:rsid w:val="6E5D6698"/>
    <w:rsid w:val="73CC250C"/>
    <w:rsid w:val="745F2DE3"/>
    <w:rsid w:val="78224565"/>
    <w:rsid w:val="79734051"/>
    <w:rsid w:val="7A5530BF"/>
    <w:rsid w:val="7A9B4AFD"/>
    <w:rsid w:val="7B0756FC"/>
    <w:rsid w:val="F3FF7B64"/>
    <w:rsid w:val="FE776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Noto Sans SC" w:hAnsi="Noto Sans SC" w:eastAsia="Noto Sans SC" w:cs="Noto Sans SC"/>
      <w:sz w:val="22"/>
      <w:szCs w:val="22"/>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link w:val="11"/>
    <w:qFormat/>
    <w:uiPriority w:val="0"/>
    <w:pPr>
      <w:tabs>
        <w:tab w:val="center" w:pos="4153"/>
        <w:tab w:val="right" w:pos="8306"/>
      </w:tabs>
      <w:snapToGrid w:val="0"/>
      <w:spacing w:line="240" w:lineRule="auto"/>
    </w:pPr>
    <w:rPr>
      <w:sz w:val="18"/>
      <w:szCs w:val="18"/>
    </w:rPr>
  </w:style>
  <w:style w:type="paragraph" w:styleId="4">
    <w:name w:val="header"/>
    <w:basedOn w:val="1"/>
    <w:link w:val="10"/>
    <w:qFormat/>
    <w:uiPriority w:val="0"/>
    <w:pPr>
      <w:tabs>
        <w:tab w:val="center" w:pos="4153"/>
        <w:tab w:val="right" w:pos="8306"/>
      </w:tabs>
      <w:snapToGrid w:val="0"/>
      <w:spacing w:line="240" w:lineRule="auto"/>
      <w:jc w:val="center"/>
    </w:pPr>
    <w:rPr>
      <w:sz w:val="18"/>
      <w:szCs w:val="18"/>
    </w:rPr>
  </w:style>
  <w:style w:type="character" w:styleId="7">
    <w:name w:val="Hyperlink"/>
    <w:basedOn w:val="6"/>
    <w:qFormat/>
    <w:uiPriority w:val="0"/>
    <w:rPr>
      <w:color w:val="0000FF"/>
      <w:u w:val="single"/>
    </w:rPr>
  </w:style>
  <w:style w:type="paragraph" w:customStyle="1" w:styleId="8">
    <w:name w:val="修订1"/>
    <w:hidden/>
    <w:unhideWhenUsed/>
    <w:qFormat/>
    <w:uiPriority w:val="99"/>
    <w:rPr>
      <w:rFonts w:ascii="Noto Sans SC" w:hAnsi="Noto Sans SC" w:eastAsia="Noto Sans SC" w:cs="Noto Sans SC"/>
      <w:sz w:val="22"/>
      <w:szCs w:val="22"/>
      <w:lang w:val="en-US" w:eastAsia="en-US" w:bidi="ar-SA"/>
    </w:rPr>
  </w:style>
  <w:style w:type="paragraph" w:styleId="9">
    <w:name w:val="List Paragraph"/>
    <w:basedOn w:val="1"/>
    <w:unhideWhenUsed/>
    <w:qFormat/>
    <w:uiPriority w:val="99"/>
    <w:pPr>
      <w:ind w:firstLine="420" w:firstLineChars="200"/>
    </w:pPr>
  </w:style>
  <w:style w:type="character" w:customStyle="1" w:styleId="10">
    <w:name w:val="页眉 字符"/>
    <w:basedOn w:val="6"/>
    <w:link w:val="4"/>
    <w:uiPriority w:val="0"/>
    <w:rPr>
      <w:rFonts w:ascii="Noto Sans SC" w:hAnsi="Noto Sans SC" w:eastAsia="Noto Sans SC" w:cs="Noto Sans SC"/>
      <w:sz w:val="18"/>
      <w:szCs w:val="18"/>
      <w:lang w:eastAsia="en-US"/>
    </w:rPr>
  </w:style>
  <w:style w:type="character" w:customStyle="1" w:styleId="11">
    <w:name w:val="页脚 字符"/>
    <w:basedOn w:val="6"/>
    <w:link w:val="3"/>
    <w:qFormat/>
    <w:uiPriority w:val="0"/>
    <w:rPr>
      <w:rFonts w:ascii="Noto Sans SC" w:hAnsi="Noto Sans SC" w:eastAsia="Noto Sans SC" w:cs="Noto Sans SC"/>
      <w:sz w:val="18"/>
      <w:szCs w:val="18"/>
      <w:lang w:eastAsia="en-US"/>
    </w:rPr>
  </w:style>
  <w:style w:type="paragraph" w:customStyle="1" w:styleId="12">
    <w:name w:val="修订2"/>
    <w:hidden/>
    <w:unhideWhenUsed/>
    <w:qFormat/>
    <w:uiPriority w:val="99"/>
    <w:rPr>
      <w:rFonts w:ascii="Noto Sans SC" w:hAnsi="Noto Sans SC" w:eastAsia="Noto Sans SC" w:cs="Noto Sans SC"/>
      <w:sz w:val="22"/>
      <w:szCs w:val="22"/>
      <w:lang w:val="en-US" w:eastAsia="en-US" w:bidi="ar-SA"/>
    </w:rPr>
  </w:style>
  <w:style w:type="character" w:customStyle="1" w:styleId="13">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731</Words>
  <Characters>775</Characters>
  <Lines>35</Lines>
  <Paragraphs>43</Paragraphs>
  <TotalTime>119</TotalTime>
  <ScaleCrop>false</ScaleCrop>
  <LinksUpToDate>false</LinksUpToDate>
  <CharactersWithSpaces>1463</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2026-08-19T17:39:00Z</dcterms:created>
  <dc:creator>哲哲哲哲</dc:creator>
  <cp:lastModifiedBy>Jerry</cp:lastModifiedBy>
  <dcterms:modified xsi:type="dcterms:W3CDTF">2026-09-15T13:42:51Z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C1CEA77F704788F1E7603E6A2B5CB5BF_43</vt:lpwstr>
  </property>
  <property fmtid="{D5CDD505-2E9C-101B-9397-08002B2CF9AE}" pid="4" name="KSOTemplateDocerSaveRecord">
    <vt:lpwstr>eyJoZGlkIjoiYjljODdkYjJkOTkyMmI0MGVhYTg4ZDc0NDBjMGU4MWEiLCJ1c2VySWQiOiIzNjM0MTk2MzkifQ==</vt:lpwstr>
  </property>
</Properties>
</file>